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5A150" w14:textId="714EFDF2" w:rsidR="0055177F" w:rsidRPr="001F5B53" w:rsidRDefault="001F5B53" w:rsidP="001F5B53">
      <w:pPr>
        <w:pBdr>
          <w:bottom w:val="single" w:sz="12" w:space="1" w:color="365F91" w:themeColor="accent1" w:themeShade="BF"/>
        </w:pBdr>
        <w:spacing w:after="120"/>
        <w:jc w:val="both"/>
        <w:rPr>
          <w:b/>
          <w:color w:val="365F91" w:themeColor="accent1" w:themeShade="BF"/>
          <w:sz w:val="28"/>
        </w:rPr>
      </w:pPr>
      <w:r>
        <w:rPr>
          <w:b/>
          <w:color w:val="365F91" w:themeColor="accent1" w:themeShade="BF"/>
          <w:sz w:val="28"/>
        </w:rPr>
        <w:t xml:space="preserve">Solidarity Fund </w:t>
      </w:r>
      <w:r w:rsidR="00A7176D">
        <w:rPr>
          <w:b/>
          <w:color w:val="365F91" w:themeColor="accent1" w:themeShade="BF"/>
          <w:sz w:val="28"/>
        </w:rPr>
        <w:t>–</w:t>
      </w:r>
      <w:r w:rsidR="0055177F" w:rsidRPr="001F5B53">
        <w:rPr>
          <w:b/>
          <w:color w:val="365F91" w:themeColor="accent1" w:themeShade="BF"/>
          <w:sz w:val="28"/>
        </w:rPr>
        <w:t xml:space="preserve"> </w:t>
      </w:r>
      <w:r w:rsidR="00A7176D">
        <w:rPr>
          <w:b/>
          <w:color w:val="365F91" w:themeColor="accent1" w:themeShade="BF"/>
          <w:sz w:val="28"/>
        </w:rPr>
        <w:t xml:space="preserve">Eligibility criteria and </w:t>
      </w:r>
      <w:r w:rsidR="0024440C">
        <w:rPr>
          <w:b/>
          <w:color w:val="365F91" w:themeColor="accent1" w:themeShade="BF"/>
          <w:sz w:val="28"/>
        </w:rPr>
        <w:t xml:space="preserve">application </w:t>
      </w:r>
      <w:r w:rsidR="00A7176D">
        <w:rPr>
          <w:b/>
          <w:color w:val="365F91" w:themeColor="accent1" w:themeShade="BF"/>
          <w:sz w:val="28"/>
        </w:rPr>
        <w:t>process</w:t>
      </w:r>
    </w:p>
    <w:p w14:paraId="5C3742FF" w14:textId="77777777" w:rsidR="0024440C" w:rsidRDefault="0024440C" w:rsidP="0024440C">
      <w:pPr>
        <w:pStyle w:val="Paragraphedeliste"/>
        <w:ind w:left="426"/>
        <w:jc w:val="both"/>
        <w:rPr>
          <w:b/>
          <w:color w:val="365F91" w:themeColor="accent1" w:themeShade="BF"/>
        </w:rPr>
      </w:pPr>
      <w:bookmarkStart w:id="0" w:name="_Hlk19026524"/>
    </w:p>
    <w:p w14:paraId="40007A3D" w14:textId="3F6D392D" w:rsidR="0024440C" w:rsidRPr="0024440C" w:rsidRDefault="0024440C" w:rsidP="0024440C">
      <w:pPr>
        <w:pStyle w:val="Paragraphedeliste"/>
        <w:ind w:left="426"/>
        <w:jc w:val="both"/>
        <w:rPr>
          <w:b/>
          <w:color w:val="365F91" w:themeColor="accent1" w:themeShade="BF"/>
          <w:sz w:val="24"/>
          <w:szCs w:val="24"/>
        </w:rPr>
      </w:pPr>
      <w:r w:rsidRPr="0024440C">
        <w:rPr>
          <w:b/>
          <w:color w:val="365F91" w:themeColor="accent1" w:themeShade="BF"/>
          <w:sz w:val="24"/>
          <w:szCs w:val="24"/>
        </w:rPr>
        <w:t>Eligibility Criteria</w:t>
      </w:r>
    </w:p>
    <w:p w14:paraId="2D8770D6" w14:textId="77777777" w:rsidR="0024440C" w:rsidRDefault="0024440C" w:rsidP="00A7176D">
      <w:pPr>
        <w:pStyle w:val="Paragraphedeliste"/>
        <w:spacing w:after="120"/>
        <w:ind w:left="426"/>
        <w:jc w:val="both"/>
        <w:rPr>
          <w:b/>
          <w:color w:val="365F91" w:themeColor="accent1" w:themeShade="BF"/>
        </w:rPr>
      </w:pPr>
    </w:p>
    <w:p w14:paraId="1DCEBE41" w14:textId="3FBF6B62" w:rsidR="0055177F" w:rsidRPr="001F5B53" w:rsidRDefault="00A7176D" w:rsidP="00A7176D">
      <w:pPr>
        <w:pStyle w:val="Paragraphedeliste"/>
        <w:spacing w:after="120"/>
        <w:ind w:left="426"/>
        <w:jc w:val="both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Please take the time to </w:t>
      </w:r>
      <w:r w:rsidR="00B84E3F">
        <w:rPr>
          <w:b/>
          <w:color w:val="365F91" w:themeColor="accent1" w:themeShade="BF"/>
        </w:rPr>
        <w:t xml:space="preserve">review </w:t>
      </w:r>
      <w:r>
        <w:rPr>
          <w:b/>
          <w:color w:val="365F91" w:themeColor="accent1" w:themeShade="BF"/>
        </w:rPr>
        <w:t>the following</w:t>
      </w:r>
      <w:r w:rsidR="00B84E3F">
        <w:rPr>
          <w:b/>
          <w:color w:val="365F91" w:themeColor="accent1" w:themeShade="BF"/>
        </w:rPr>
        <w:t xml:space="preserve"> eligibility criteria:</w:t>
      </w:r>
    </w:p>
    <w:bookmarkEnd w:id="0"/>
    <w:p w14:paraId="15BB5AD2" w14:textId="54E94582" w:rsidR="00334636" w:rsidRDefault="00334636" w:rsidP="00B84E3F">
      <w:pPr>
        <w:numPr>
          <w:ilvl w:val="0"/>
          <w:numId w:val="15"/>
        </w:numPr>
        <w:spacing w:after="120"/>
        <w:contextualSpacing/>
        <w:jc w:val="both"/>
        <w:rPr>
          <w:rFonts w:cs="Arial"/>
          <w:szCs w:val="28"/>
        </w:rPr>
      </w:pPr>
      <w:r w:rsidRPr="00334636">
        <w:rPr>
          <w:rFonts w:cs="Arial"/>
          <w:szCs w:val="28"/>
        </w:rPr>
        <w:t xml:space="preserve">The main implementing organization </w:t>
      </w:r>
      <w:r w:rsidR="00A7176D">
        <w:rPr>
          <w:rFonts w:cs="Arial"/>
          <w:szCs w:val="28"/>
        </w:rPr>
        <w:t xml:space="preserve">of the project </w:t>
      </w:r>
      <w:r w:rsidRPr="00334636">
        <w:rPr>
          <w:rFonts w:cs="Arial"/>
          <w:szCs w:val="28"/>
        </w:rPr>
        <w:t xml:space="preserve">is a </w:t>
      </w:r>
      <w:r w:rsidR="00F42E82">
        <w:rPr>
          <w:rFonts w:cs="Arial"/>
          <w:szCs w:val="28"/>
        </w:rPr>
        <w:t>member of the Vincentian Family</w:t>
      </w:r>
      <w:r w:rsidR="00B84E3F">
        <w:rPr>
          <w:rFonts w:cs="Arial"/>
          <w:szCs w:val="28"/>
        </w:rPr>
        <w:t>.</w:t>
      </w:r>
    </w:p>
    <w:p w14:paraId="2095AB13" w14:textId="77777777" w:rsidR="00B84E3F" w:rsidRDefault="00B84E3F" w:rsidP="00B84E3F">
      <w:pPr>
        <w:numPr>
          <w:ilvl w:val="1"/>
          <w:numId w:val="15"/>
        </w:numPr>
        <w:spacing w:after="120"/>
        <w:contextualSpacing/>
        <w:jc w:val="both"/>
        <w:rPr>
          <w:rFonts w:cs="Arial"/>
          <w:szCs w:val="28"/>
        </w:rPr>
      </w:pPr>
      <w:r>
        <w:rPr>
          <w:rFonts w:cs="Arial"/>
          <w:szCs w:val="28"/>
        </w:rPr>
        <w:t>The recipient organisation can evidence that they are able to comply with reporting requirements (both narrative and financial).</w:t>
      </w:r>
    </w:p>
    <w:p w14:paraId="141C6685" w14:textId="2AA90A44" w:rsidR="00B84E3F" w:rsidRPr="00B84E3F" w:rsidRDefault="00B84E3F" w:rsidP="00B84E3F">
      <w:pPr>
        <w:numPr>
          <w:ilvl w:val="1"/>
          <w:numId w:val="15"/>
        </w:numPr>
        <w:spacing w:after="120"/>
        <w:contextualSpacing/>
        <w:jc w:val="both"/>
        <w:rPr>
          <w:rFonts w:cs="Arial"/>
          <w:szCs w:val="28"/>
        </w:rPr>
      </w:pPr>
      <w:r>
        <w:rPr>
          <w:rFonts w:cs="Arial"/>
          <w:szCs w:val="28"/>
        </w:rPr>
        <w:t>The recipient organisation can provide a detailed budget on project costs.</w:t>
      </w:r>
    </w:p>
    <w:p w14:paraId="4F97DA51" w14:textId="77777777" w:rsidR="00334636" w:rsidRPr="00334636" w:rsidRDefault="00334636" w:rsidP="00B84E3F">
      <w:pPr>
        <w:numPr>
          <w:ilvl w:val="0"/>
          <w:numId w:val="15"/>
        </w:numPr>
        <w:spacing w:after="120"/>
        <w:contextualSpacing/>
        <w:jc w:val="both"/>
        <w:rPr>
          <w:rFonts w:cs="Arial"/>
          <w:szCs w:val="28"/>
        </w:rPr>
      </w:pPr>
      <w:r w:rsidRPr="00334636">
        <w:rPr>
          <w:rFonts w:cs="Arial"/>
          <w:szCs w:val="28"/>
        </w:rPr>
        <w:t>Project beneficiaries are street homeless people or those at risk of homelessness, slum dwellers, refugees or internally displaced people.</w:t>
      </w:r>
    </w:p>
    <w:p w14:paraId="0F9F3FD4" w14:textId="7594571E" w:rsidR="00334636" w:rsidRDefault="00334636" w:rsidP="00B84E3F">
      <w:pPr>
        <w:numPr>
          <w:ilvl w:val="0"/>
          <w:numId w:val="15"/>
        </w:numPr>
        <w:spacing w:after="120"/>
        <w:contextualSpacing/>
        <w:jc w:val="both"/>
        <w:rPr>
          <w:rFonts w:cs="Arial"/>
          <w:szCs w:val="28"/>
        </w:rPr>
      </w:pPr>
      <w:r w:rsidRPr="00334636">
        <w:rPr>
          <w:rFonts w:cs="Arial"/>
          <w:szCs w:val="28"/>
        </w:rPr>
        <w:t xml:space="preserve">The project location is in one of the </w:t>
      </w:r>
      <w:r w:rsidR="001817F2">
        <w:rPr>
          <w:rFonts w:cs="Arial"/>
          <w:szCs w:val="28"/>
        </w:rPr>
        <w:t>poorer countries of the world (i.e. those ranking lowest on the Human Development Index)</w:t>
      </w:r>
      <w:r w:rsidR="00A7176D">
        <w:rPr>
          <w:rFonts w:cs="Arial"/>
          <w:szCs w:val="28"/>
        </w:rPr>
        <w:t>.</w:t>
      </w:r>
    </w:p>
    <w:p w14:paraId="56DF10E2" w14:textId="60F19989" w:rsidR="00A7176D" w:rsidRDefault="00A7176D" w:rsidP="00B84E3F">
      <w:pPr>
        <w:numPr>
          <w:ilvl w:val="0"/>
          <w:numId w:val="15"/>
        </w:numPr>
        <w:spacing w:after="120"/>
        <w:contextualSpacing/>
        <w:jc w:val="both"/>
        <w:rPr>
          <w:rFonts w:cs="Arial"/>
          <w:szCs w:val="28"/>
        </w:rPr>
      </w:pPr>
      <w:r w:rsidRPr="00334636">
        <w:rPr>
          <w:rFonts w:cs="Arial"/>
          <w:szCs w:val="28"/>
        </w:rPr>
        <w:t>The project has a commitment to collaboration with other members of the Vincentian Family and/or other organizations that share/support Vincentian values either in-country and/or globally.</w:t>
      </w:r>
    </w:p>
    <w:p w14:paraId="2F9C1196" w14:textId="3AE0B885" w:rsidR="00A7176D" w:rsidRPr="00A7176D" w:rsidRDefault="00A7176D" w:rsidP="00B84E3F">
      <w:pPr>
        <w:numPr>
          <w:ilvl w:val="0"/>
          <w:numId w:val="15"/>
        </w:numPr>
        <w:spacing w:after="120"/>
        <w:contextualSpacing/>
        <w:jc w:val="both"/>
        <w:rPr>
          <w:rFonts w:cs="Arial"/>
          <w:szCs w:val="28"/>
        </w:rPr>
      </w:pPr>
      <w:r w:rsidRPr="00334636">
        <w:rPr>
          <w:rFonts w:cs="Arial"/>
          <w:szCs w:val="28"/>
        </w:rPr>
        <w:t xml:space="preserve">The application highlights the financial contribution of </w:t>
      </w:r>
      <w:r>
        <w:rPr>
          <w:rFonts w:cs="Arial"/>
          <w:szCs w:val="28"/>
        </w:rPr>
        <w:t>the implementing organization/s and the local community.</w:t>
      </w:r>
      <w:r w:rsidRPr="00334636">
        <w:rPr>
          <w:rFonts w:cs="Arial"/>
          <w:szCs w:val="28"/>
        </w:rPr>
        <w:t xml:space="preserve"> Please note: In general, the maximum grant that can be requested of the Solidarity Fund are 50% of the total project costs.</w:t>
      </w:r>
    </w:p>
    <w:p w14:paraId="3256F428" w14:textId="6BD3B376" w:rsidR="00B84E3F" w:rsidRPr="001F5B53" w:rsidRDefault="00B84E3F" w:rsidP="00B84E3F">
      <w:pPr>
        <w:pStyle w:val="Paragraphedeliste"/>
        <w:spacing w:after="120"/>
        <w:ind w:left="426"/>
        <w:jc w:val="both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If you fulfil these, you are eligible to apply.</w:t>
      </w:r>
    </w:p>
    <w:p w14:paraId="21659A3A" w14:textId="4CE181B1" w:rsidR="00B84E3F" w:rsidRDefault="00B84E3F" w:rsidP="00A7176D">
      <w:pPr>
        <w:spacing w:after="120"/>
        <w:ind w:left="567"/>
        <w:contextualSpacing/>
        <w:jc w:val="both"/>
        <w:rPr>
          <w:rFonts w:cs="Arial"/>
          <w:szCs w:val="28"/>
        </w:rPr>
      </w:pPr>
    </w:p>
    <w:p w14:paraId="6B6058CB" w14:textId="5FF05A8E" w:rsidR="00F7696B" w:rsidRPr="00B84E3F" w:rsidRDefault="00A7176D" w:rsidP="00A7176D">
      <w:pPr>
        <w:spacing w:after="120"/>
        <w:ind w:left="567"/>
        <w:contextualSpacing/>
        <w:jc w:val="both"/>
        <w:rPr>
          <w:rFonts w:cs="Arial"/>
          <w:i/>
          <w:iCs/>
          <w:szCs w:val="28"/>
        </w:rPr>
      </w:pPr>
      <w:r w:rsidRPr="00B84E3F">
        <w:rPr>
          <w:rFonts w:cs="Arial"/>
          <w:i/>
          <w:iCs/>
          <w:szCs w:val="28"/>
        </w:rPr>
        <w:t xml:space="preserve">NB: </w:t>
      </w:r>
      <w:r w:rsidR="00F42E82" w:rsidRPr="00B84E3F">
        <w:rPr>
          <w:rFonts w:cs="Arial"/>
          <w:i/>
          <w:iCs/>
          <w:szCs w:val="28"/>
        </w:rPr>
        <w:t>A</w:t>
      </w:r>
      <w:r w:rsidR="00334636" w:rsidRPr="00B84E3F">
        <w:rPr>
          <w:rFonts w:cs="Arial"/>
          <w:i/>
          <w:iCs/>
          <w:szCs w:val="28"/>
        </w:rPr>
        <w:t>t this stage we can only consider one project per country</w:t>
      </w:r>
      <w:r w:rsidR="001817F2" w:rsidRPr="00B84E3F">
        <w:rPr>
          <w:rFonts w:cs="Arial"/>
          <w:i/>
          <w:iCs/>
          <w:szCs w:val="28"/>
        </w:rPr>
        <w:t xml:space="preserve"> at a time</w:t>
      </w:r>
      <w:r w:rsidR="00334636" w:rsidRPr="00B84E3F">
        <w:rPr>
          <w:rFonts w:cs="Arial"/>
          <w:i/>
          <w:iCs/>
          <w:szCs w:val="28"/>
        </w:rPr>
        <w:t xml:space="preserve"> </w:t>
      </w:r>
      <w:r w:rsidR="001817F2" w:rsidRPr="00B84E3F">
        <w:rPr>
          <w:rFonts w:cs="Arial"/>
          <w:i/>
          <w:iCs/>
          <w:szCs w:val="28"/>
        </w:rPr>
        <w:t xml:space="preserve">(as agreed as a priority by the Vincentian Family in the respective country) </w:t>
      </w:r>
      <w:r w:rsidR="00334636" w:rsidRPr="00B84E3F">
        <w:rPr>
          <w:rFonts w:cs="Arial"/>
          <w:i/>
          <w:iCs/>
          <w:szCs w:val="28"/>
        </w:rPr>
        <w:t>for financial s</w:t>
      </w:r>
      <w:r w:rsidR="001817F2" w:rsidRPr="00B84E3F">
        <w:rPr>
          <w:rFonts w:cs="Arial"/>
          <w:i/>
          <w:iCs/>
          <w:szCs w:val="28"/>
        </w:rPr>
        <w:t>upport from the Solidarity Fund.</w:t>
      </w:r>
    </w:p>
    <w:p w14:paraId="6A3B4719" w14:textId="12C9A1FE" w:rsidR="001F5B53" w:rsidRDefault="001F5B53" w:rsidP="001F5B53">
      <w:pPr>
        <w:spacing w:after="120"/>
        <w:ind w:left="567"/>
        <w:contextualSpacing/>
        <w:jc w:val="both"/>
        <w:rPr>
          <w:rFonts w:cs="Arial"/>
          <w:szCs w:val="28"/>
        </w:rPr>
      </w:pPr>
    </w:p>
    <w:p w14:paraId="5C584060" w14:textId="77777777" w:rsidR="00B84E3F" w:rsidRPr="001F5B53" w:rsidRDefault="00B84E3F" w:rsidP="001F5B53">
      <w:pPr>
        <w:spacing w:after="120"/>
        <w:ind w:left="567"/>
        <w:contextualSpacing/>
        <w:jc w:val="both"/>
        <w:rPr>
          <w:rFonts w:cs="Arial"/>
          <w:szCs w:val="28"/>
        </w:rPr>
      </w:pPr>
    </w:p>
    <w:p w14:paraId="36863FFB" w14:textId="7E7124CC" w:rsidR="0055177F" w:rsidRPr="0024440C" w:rsidRDefault="0024440C" w:rsidP="00B84E3F">
      <w:pPr>
        <w:pStyle w:val="Paragraphedeliste"/>
        <w:ind w:left="426"/>
        <w:jc w:val="both"/>
        <w:rPr>
          <w:b/>
          <w:color w:val="365F91" w:themeColor="accent1" w:themeShade="BF"/>
          <w:sz w:val="24"/>
          <w:szCs w:val="24"/>
        </w:rPr>
      </w:pPr>
      <w:r w:rsidRPr="0024440C">
        <w:rPr>
          <w:b/>
          <w:color w:val="365F91" w:themeColor="accent1" w:themeShade="BF"/>
          <w:sz w:val="24"/>
          <w:szCs w:val="24"/>
        </w:rPr>
        <w:t xml:space="preserve">Application </w:t>
      </w:r>
      <w:r w:rsidR="0055177F" w:rsidRPr="0024440C">
        <w:rPr>
          <w:b/>
          <w:color w:val="365F91" w:themeColor="accent1" w:themeShade="BF"/>
          <w:sz w:val="24"/>
          <w:szCs w:val="24"/>
        </w:rPr>
        <w:t>Process</w:t>
      </w:r>
    </w:p>
    <w:p w14:paraId="575144AB" w14:textId="69DA807B" w:rsidR="00A63B62" w:rsidRDefault="00A63B62" w:rsidP="001F5B53">
      <w:pPr>
        <w:spacing w:after="120"/>
        <w:jc w:val="both"/>
      </w:pPr>
      <w:r>
        <w:t xml:space="preserve">The following gives an overview of the </w:t>
      </w:r>
      <w:r w:rsidR="004955F7">
        <w:t xml:space="preserve">application </w:t>
      </w:r>
      <w:r>
        <w:t xml:space="preserve">process. </w:t>
      </w:r>
    </w:p>
    <w:p w14:paraId="63C42EB5" w14:textId="77777777" w:rsidR="00A63B62" w:rsidRPr="00594291" w:rsidRDefault="00A63B62" w:rsidP="001F5B53">
      <w:pPr>
        <w:pStyle w:val="Paragraphedeliste"/>
        <w:numPr>
          <w:ilvl w:val="0"/>
          <w:numId w:val="5"/>
        </w:numPr>
        <w:spacing w:after="120"/>
        <w:ind w:left="567" w:hanging="567"/>
        <w:jc w:val="both"/>
        <w:rPr>
          <w:i/>
        </w:rPr>
      </w:pPr>
      <w:r w:rsidRPr="00594291">
        <w:rPr>
          <w:i/>
        </w:rPr>
        <w:t>Application</w:t>
      </w:r>
    </w:p>
    <w:p w14:paraId="7840C6BE" w14:textId="3457A2EF" w:rsidR="00960F97" w:rsidRDefault="00B84E3F" w:rsidP="001F5B53">
      <w:pPr>
        <w:pStyle w:val="Paragraphedeliste"/>
        <w:numPr>
          <w:ilvl w:val="0"/>
          <w:numId w:val="9"/>
        </w:numPr>
        <w:spacing w:after="120"/>
        <w:jc w:val="both"/>
      </w:pPr>
      <w:r>
        <w:t>P</w:t>
      </w:r>
      <w:r w:rsidR="00A63B62">
        <w:t>otential applicant</w:t>
      </w:r>
      <w:r>
        <w:t>s</w:t>
      </w:r>
      <w:r w:rsidR="00A63B62">
        <w:t xml:space="preserve"> </w:t>
      </w:r>
      <w:r>
        <w:t xml:space="preserve">are </w:t>
      </w:r>
      <w:r w:rsidR="00A63B62">
        <w:t xml:space="preserve">asked to complete the </w:t>
      </w:r>
      <w:commentRangeStart w:id="1"/>
      <w:commentRangeEnd w:id="1"/>
      <w:r w:rsidR="00BF7CBC">
        <w:t>Solidarity Fund Application Form</w:t>
      </w:r>
      <w:r>
        <w:t>.</w:t>
      </w:r>
      <w:r w:rsidR="00A63B62">
        <w:t xml:space="preserve"> </w:t>
      </w:r>
    </w:p>
    <w:p w14:paraId="681563ED" w14:textId="3146511A" w:rsidR="00A63B62" w:rsidRDefault="00A63B62" w:rsidP="001F5B53">
      <w:pPr>
        <w:pStyle w:val="Paragraphedeliste"/>
        <w:numPr>
          <w:ilvl w:val="0"/>
          <w:numId w:val="9"/>
        </w:numPr>
        <w:spacing w:after="120"/>
        <w:jc w:val="both"/>
      </w:pPr>
      <w:r>
        <w:t>The application form w</w:t>
      </w:r>
      <w:r w:rsidR="00F7696B">
        <w:t xml:space="preserve">ill be sent to </w:t>
      </w:r>
      <w:bookmarkStart w:id="2" w:name="_Hlk19026297"/>
      <w:r w:rsidR="00186A17">
        <w:fldChar w:fldCharType="begin"/>
      </w:r>
      <w:r w:rsidR="00186A17">
        <w:instrText xml:space="preserve"> HYPERLINK "mailto:</w:instrText>
      </w:r>
      <w:r w:rsidR="00186A17" w:rsidRPr="003D38C5">
        <w:instrText>fha.campaign@famvin.org</w:instrText>
      </w:r>
      <w:r w:rsidR="00186A17">
        <w:instrText xml:space="preserve">" </w:instrText>
      </w:r>
      <w:r w:rsidR="00186A17">
        <w:fldChar w:fldCharType="separate"/>
      </w:r>
      <w:r w:rsidR="00186A17" w:rsidRPr="00186A17">
        <w:rPr>
          <w:rStyle w:val="Lienhypertexte"/>
        </w:rPr>
        <w:t>fha.campaign@famvin.org</w:t>
      </w:r>
      <w:bookmarkEnd w:id="2"/>
      <w:r w:rsidR="00186A17">
        <w:fldChar w:fldCharType="end"/>
      </w:r>
      <w:bookmarkStart w:id="3" w:name="_GoBack"/>
      <w:bookmarkEnd w:id="3"/>
    </w:p>
    <w:p w14:paraId="17A77383" w14:textId="77777777" w:rsidR="00960F97" w:rsidRDefault="00960F97" w:rsidP="001F5B53">
      <w:pPr>
        <w:pStyle w:val="Paragraphedeliste"/>
        <w:spacing w:after="120"/>
        <w:jc w:val="both"/>
      </w:pPr>
    </w:p>
    <w:p w14:paraId="0E071819" w14:textId="77777777" w:rsidR="00A63B62" w:rsidRDefault="007B5DDF" w:rsidP="001F5B53">
      <w:pPr>
        <w:pStyle w:val="Paragraphedeliste"/>
        <w:numPr>
          <w:ilvl w:val="0"/>
          <w:numId w:val="5"/>
        </w:numPr>
        <w:spacing w:after="120"/>
        <w:ind w:left="567" w:hanging="567"/>
        <w:jc w:val="both"/>
        <w:rPr>
          <w:i/>
        </w:rPr>
      </w:pPr>
      <w:r w:rsidRPr="00594291">
        <w:rPr>
          <w:i/>
        </w:rPr>
        <w:t>Processing of applications</w:t>
      </w:r>
    </w:p>
    <w:p w14:paraId="413430B4" w14:textId="6EE53BA9" w:rsidR="00564A3F" w:rsidRPr="00564A3F" w:rsidRDefault="00B84E3F" w:rsidP="00564A3F">
      <w:pPr>
        <w:spacing w:after="120"/>
        <w:jc w:val="both"/>
      </w:pPr>
      <w:r>
        <w:t xml:space="preserve">All applications received undergo an assessment process.  </w:t>
      </w:r>
      <w:r w:rsidR="003D38C5" w:rsidRPr="00E409BD">
        <w:t xml:space="preserve">The focus of the 13 Houses Campaign is to find local solutions to currently unaddressed issues and to seek local, national and global collaboration to make these a reality. As such, applications will be </w:t>
      </w:r>
      <w:proofErr w:type="gramStart"/>
      <w:r w:rsidR="003D38C5" w:rsidRPr="00E409BD">
        <w:t>assessed with this in mind</w:t>
      </w:r>
      <w:proofErr w:type="gramEnd"/>
      <w:r w:rsidR="003D38C5" w:rsidRPr="00E409BD">
        <w:t xml:space="preserve">. </w:t>
      </w:r>
      <w:r w:rsidR="003D38C5">
        <w:t xml:space="preserve">  The assessment process involves information </w:t>
      </w:r>
      <w:r>
        <w:lastRenderedPageBreak/>
        <w:t xml:space="preserve">exchanges with the FHA team to clarify </w:t>
      </w:r>
      <w:r w:rsidR="004955F7">
        <w:t>the necessary details for FHA to present your project to potential donors.</w:t>
      </w:r>
      <w:r w:rsidR="00186A17">
        <w:t xml:space="preserve"> </w:t>
      </w:r>
      <w:r w:rsidR="00186A17">
        <w:t>Further assessment criteria can be found on the Solidarity Fund Application Form.</w:t>
      </w:r>
    </w:p>
    <w:p w14:paraId="05DF2FE9" w14:textId="72638333" w:rsidR="00960F97" w:rsidRDefault="007B5DDF" w:rsidP="004955F7">
      <w:pPr>
        <w:pStyle w:val="Paragraphedeliste"/>
        <w:numPr>
          <w:ilvl w:val="0"/>
          <w:numId w:val="10"/>
        </w:numPr>
        <w:spacing w:after="120"/>
        <w:jc w:val="both"/>
      </w:pPr>
      <w:r>
        <w:t>Based on the</w:t>
      </w:r>
      <w:r w:rsidR="004955F7">
        <w:t xml:space="preserve"> assessment of the project, </w:t>
      </w:r>
      <w:r>
        <w:t>follow-up actions will be carried out, e.g.</w:t>
      </w:r>
      <w:r w:rsidR="004955F7">
        <w:t xml:space="preserve"> f</w:t>
      </w:r>
      <w:r w:rsidR="0055177F">
        <w:t xml:space="preserve">eedback to </w:t>
      </w:r>
      <w:r w:rsidR="00564A3F">
        <w:t>implementing organisation</w:t>
      </w:r>
      <w:r w:rsidR="0055177F">
        <w:t xml:space="preserve"> (e.g. questions, issues to be resolved</w:t>
      </w:r>
      <w:r w:rsidR="00594291">
        <w:t>, risks</w:t>
      </w:r>
      <w:r w:rsidR="004955F7">
        <w:t xml:space="preserve"> to examine</w:t>
      </w:r>
      <w:r w:rsidR="0055177F">
        <w:t>)</w:t>
      </w:r>
      <w:r w:rsidR="004955F7">
        <w:t>.</w:t>
      </w:r>
    </w:p>
    <w:p w14:paraId="6EAD31D6" w14:textId="3E6BE1E6" w:rsidR="004955F7" w:rsidRDefault="004955F7" w:rsidP="004955F7">
      <w:pPr>
        <w:pStyle w:val="Paragraphedeliste"/>
        <w:numPr>
          <w:ilvl w:val="0"/>
          <w:numId w:val="10"/>
        </w:numPr>
        <w:spacing w:after="120"/>
        <w:jc w:val="both"/>
      </w:pPr>
      <w:r>
        <w:t xml:space="preserve">Once the questions are resolved and the project has been completed, it is </w:t>
      </w:r>
      <w:proofErr w:type="gramStart"/>
      <w:r>
        <w:t>approved</w:t>
      </w:r>
      <w:proofErr w:type="gramEnd"/>
      <w:r>
        <w:t xml:space="preserve"> and FHA can start fundraising for it.</w:t>
      </w:r>
    </w:p>
    <w:p w14:paraId="5F8C0A67" w14:textId="77777777" w:rsidR="00287E4F" w:rsidRDefault="00287E4F" w:rsidP="001F5B53">
      <w:pPr>
        <w:pStyle w:val="Paragraphedeliste"/>
        <w:spacing w:after="120"/>
        <w:jc w:val="both"/>
      </w:pPr>
    </w:p>
    <w:p w14:paraId="1A77F813" w14:textId="77777777" w:rsidR="007B5DDF" w:rsidRPr="00287E4F" w:rsidRDefault="00F42E82" w:rsidP="001F5B53">
      <w:pPr>
        <w:pStyle w:val="Paragraphedeliste"/>
        <w:numPr>
          <w:ilvl w:val="0"/>
          <w:numId w:val="5"/>
        </w:numPr>
        <w:spacing w:after="120"/>
        <w:ind w:left="567" w:hanging="567"/>
        <w:jc w:val="both"/>
        <w:rPr>
          <w:i/>
        </w:rPr>
      </w:pPr>
      <w:r w:rsidRPr="00287E4F">
        <w:rPr>
          <w:i/>
        </w:rPr>
        <w:t>Funding</w:t>
      </w:r>
    </w:p>
    <w:p w14:paraId="1FF2B900" w14:textId="559D97ED" w:rsidR="00287E4F" w:rsidRDefault="004955F7" w:rsidP="001F5B53">
      <w:pPr>
        <w:pStyle w:val="Paragraphedeliste"/>
        <w:numPr>
          <w:ilvl w:val="0"/>
          <w:numId w:val="11"/>
        </w:numPr>
        <w:spacing w:after="120"/>
        <w:jc w:val="both"/>
      </w:pPr>
      <w:r>
        <w:t xml:space="preserve">Project leader will receive </w:t>
      </w:r>
      <w:r w:rsidR="00287E4F">
        <w:t xml:space="preserve">notification </w:t>
      </w:r>
      <w:r>
        <w:t xml:space="preserve">from FHA of project approval, </w:t>
      </w:r>
      <w:r w:rsidR="00287E4F">
        <w:t>along with a reporting agreement (between FHA and main implem</w:t>
      </w:r>
      <w:r w:rsidR="001F5B53">
        <w:t>enting organisation) as well as the reporting template.</w:t>
      </w:r>
    </w:p>
    <w:p w14:paraId="3DAFF690" w14:textId="6B2EA8E5" w:rsidR="00287E4F" w:rsidRDefault="00287E4F" w:rsidP="001F5B53">
      <w:pPr>
        <w:pStyle w:val="Paragraphedeliste"/>
        <w:numPr>
          <w:ilvl w:val="0"/>
          <w:numId w:val="11"/>
        </w:numPr>
        <w:spacing w:after="120"/>
        <w:jc w:val="both"/>
      </w:pPr>
      <w:r>
        <w:t xml:space="preserve">Upon receipt of the </w:t>
      </w:r>
      <w:r w:rsidR="00BF7CBC">
        <w:t xml:space="preserve">filled out and signed </w:t>
      </w:r>
      <w:r>
        <w:t xml:space="preserve">reporting agreement, </w:t>
      </w:r>
      <w:r w:rsidR="004955F7">
        <w:t>FHA</w:t>
      </w:r>
      <w:r>
        <w:t xml:space="preserve"> will </w:t>
      </w:r>
      <w:r w:rsidR="00186A17">
        <w:t xml:space="preserve">release the funds when available in the </w:t>
      </w:r>
      <w:r w:rsidR="004955F7">
        <w:t>Solidarity Fund</w:t>
      </w:r>
      <w:r>
        <w:t xml:space="preserve">. </w:t>
      </w:r>
    </w:p>
    <w:p w14:paraId="2292C9AE" w14:textId="6A09ABD0" w:rsidR="004B328A" w:rsidRDefault="004955F7" w:rsidP="001F5B53">
      <w:pPr>
        <w:pStyle w:val="Paragraphedeliste"/>
        <w:numPr>
          <w:ilvl w:val="0"/>
          <w:numId w:val="11"/>
        </w:numPr>
        <w:spacing w:after="120"/>
        <w:jc w:val="both"/>
      </w:pPr>
      <w:r>
        <w:t>FHA will</w:t>
      </w:r>
      <w:r w:rsidR="00287E4F">
        <w:t xml:space="preserve"> inform</w:t>
      </w:r>
      <w:r w:rsidR="004B328A">
        <w:t xml:space="preserve"> recipient organisation that the request for transfer has been submitted and that the recipient organisation is required to confirm receipt of funds.</w:t>
      </w:r>
    </w:p>
    <w:p w14:paraId="38D4FC1B" w14:textId="77777777" w:rsidR="004B328A" w:rsidRDefault="004B328A" w:rsidP="001F5B53">
      <w:pPr>
        <w:pStyle w:val="Paragraphedeliste"/>
        <w:spacing w:after="120"/>
        <w:jc w:val="both"/>
      </w:pPr>
    </w:p>
    <w:p w14:paraId="5DD859AB" w14:textId="77777777" w:rsidR="004B328A" w:rsidRDefault="004B328A" w:rsidP="001F5B53">
      <w:pPr>
        <w:pStyle w:val="Paragraphedeliste"/>
        <w:numPr>
          <w:ilvl w:val="0"/>
          <w:numId w:val="5"/>
        </w:numPr>
        <w:spacing w:after="120"/>
        <w:ind w:left="567" w:hanging="567"/>
        <w:jc w:val="both"/>
        <w:rPr>
          <w:i/>
        </w:rPr>
      </w:pPr>
      <w:r w:rsidRPr="004B328A">
        <w:rPr>
          <w:i/>
        </w:rPr>
        <w:t>Reporting</w:t>
      </w:r>
    </w:p>
    <w:p w14:paraId="4FF4E85C" w14:textId="77777777" w:rsidR="004B328A" w:rsidRPr="004B328A" w:rsidRDefault="004B328A" w:rsidP="001F5B53">
      <w:pPr>
        <w:pStyle w:val="Paragraphedeliste"/>
        <w:numPr>
          <w:ilvl w:val="0"/>
          <w:numId w:val="12"/>
        </w:numPr>
        <w:spacing w:after="120"/>
        <w:jc w:val="both"/>
        <w:rPr>
          <w:i/>
        </w:rPr>
      </w:pPr>
      <w:r>
        <w:t>Any organisation receiving financial support through the Solidarity Fund is required to sign a reporting agreement that describes narrative and financial reporting.</w:t>
      </w:r>
    </w:p>
    <w:p w14:paraId="0182F934" w14:textId="77777777" w:rsidR="004B328A" w:rsidRPr="004B328A" w:rsidRDefault="004B328A" w:rsidP="001F5B53">
      <w:pPr>
        <w:pStyle w:val="Paragraphedeliste"/>
        <w:numPr>
          <w:ilvl w:val="0"/>
          <w:numId w:val="12"/>
        </w:numPr>
        <w:spacing w:after="120"/>
        <w:jc w:val="both"/>
        <w:rPr>
          <w:i/>
        </w:rPr>
      </w:pPr>
      <w:r>
        <w:t xml:space="preserve">Interim and annual narrative and financial reports are required, i.e. a minimum of two reports per year are requested. </w:t>
      </w:r>
      <w:r w:rsidRPr="009F700B">
        <w:rPr>
          <w:i/>
        </w:rPr>
        <w:t>Note:</w:t>
      </w:r>
      <w:r>
        <w:t xml:space="preserve"> This is a guideline. The final reporting schedule will be individualised to account for the specific project environment.</w:t>
      </w:r>
    </w:p>
    <w:p w14:paraId="0C6410DA" w14:textId="6348A68C" w:rsidR="001F5B53" w:rsidRPr="001F5B53" w:rsidRDefault="001F5B53" w:rsidP="001F5B53">
      <w:pPr>
        <w:spacing w:after="120"/>
        <w:jc w:val="both"/>
        <w:rPr>
          <w:i/>
        </w:rPr>
      </w:pPr>
      <w:commentRangeStart w:id="4"/>
      <w:commentRangeEnd w:id="4"/>
    </w:p>
    <w:sectPr w:rsidR="001F5B53" w:rsidRPr="001F5B53" w:rsidSect="00A63B62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0AECA" w14:textId="77777777" w:rsidR="00C0432B" w:rsidRDefault="00C0432B" w:rsidP="00D945BD">
      <w:pPr>
        <w:spacing w:after="0" w:line="240" w:lineRule="auto"/>
      </w:pPr>
      <w:r>
        <w:separator/>
      </w:r>
    </w:p>
  </w:endnote>
  <w:endnote w:type="continuationSeparator" w:id="0">
    <w:p w14:paraId="130D86E5" w14:textId="77777777" w:rsidR="00C0432B" w:rsidRDefault="00C0432B" w:rsidP="00D9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5C9D7" w14:textId="77777777" w:rsidR="00C0432B" w:rsidRDefault="00C0432B" w:rsidP="00D945BD">
      <w:pPr>
        <w:spacing w:after="0" w:line="240" w:lineRule="auto"/>
      </w:pPr>
      <w:r>
        <w:separator/>
      </w:r>
    </w:p>
  </w:footnote>
  <w:footnote w:type="continuationSeparator" w:id="0">
    <w:p w14:paraId="77A604EE" w14:textId="77777777" w:rsidR="00C0432B" w:rsidRDefault="00C0432B" w:rsidP="00D94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2099E" w14:textId="624A06C8" w:rsidR="00A7176D" w:rsidRDefault="00A7176D" w:rsidP="00A7176D">
    <w:pPr>
      <w:ind w:left="-567" w:right="-567"/>
      <w:rPr>
        <w:color w:val="0070C0"/>
        <w:lang w:val="en-US"/>
      </w:rPr>
    </w:pPr>
    <w:r>
      <w:rPr>
        <w:noProof/>
        <w:color w:val="0070C0"/>
        <w:bdr w:val="none" w:sz="0" w:space="0" w:color="auto" w:frame="1"/>
      </w:rPr>
      <w:t xml:space="preserve">       </w:t>
    </w:r>
    <w:r w:rsidRPr="008C50C1">
      <w:rPr>
        <w:noProof/>
        <w:color w:val="0070C0"/>
        <w:bdr w:val="none" w:sz="0" w:space="0" w:color="auto" w:frame="1"/>
        <w:lang w:eastAsia="en-GB"/>
      </w:rPr>
      <w:drawing>
        <wp:inline distT="0" distB="0" distL="0" distR="0" wp14:anchorId="5427B2E9" wp14:editId="12077D8C">
          <wp:extent cx="1781175" cy="1114425"/>
          <wp:effectExtent l="0" t="0" r="9525" b="952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50C1">
      <w:rPr>
        <w:color w:val="0070C0"/>
        <w:lang w:val="en-US"/>
      </w:rPr>
      <w:t xml:space="preserve">     </w:t>
    </w:r>
    <w:r>
      <w:rPr>
        <w:color w:val="0070C0"/>
        <w:lang w:val="en-US"/>
      </w:rPr>
      <w:t xml:space="preserve">                                                                                                      </w:t>
    </w:r>
    <w:r w:rsidRPr="008C50C1">
      <w:rPr>
        <w:noProof/>
        <w:color w:val="0070C0"/>
        <w:lang w:eastAsia="en-GB"/>
      </w:rPr>
      <w:drawing>
        <wp:inline distT="0" distB="0" distL="0" distR="0" wp14:anchorId="446822B9" wp14:editId="6A08FC41">
          <wp:extent cx="1228725" cy="1228725"/>
          <wp:effectExtent l="0" t="0" r="0" b="0"/>
          <wp:docPr id="3" name="Image 3" descr="Logo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transparen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CC0406" w14:textId="77777777" w:rsidR="00564A3F" w:rsidRDefault="00564A3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205AB"/>
    <w:multiLevelType w:val="hybridMultilevel"/>
    <w:tmpl w:val="31DC431A"/>
    <w:lvl w:ilvl="0" w:tplc="88D6E120">
      <w:start w:val="1"/>
      <w:numFmt w:val="bullet"/>
      <w:lvlText w:val="•"/>
      <w:lvlJc w:val="left"/>
      <w:pPr>
        <w:ind w:left="720" w:hanging="360"/>
      </w:pPr>
      <w:rPr>
        <w:rFonts w:hint="default"/>
        <w:caps w:val="0"/>
        <w:strike w:val="0"/>
        <w:dstrike w:val="0"/>
        <w:color w:val="1F497D" w:themeColor="text2"/>
        <w:spacing w:val="-2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75176"/>
    <w:multiLevelType w:val="hybridMultilevel"/>
    <w:tmpl w:val="A692DD9C"/>
    <w:lvl w:ilvl="0" w:tplc="88D6E120">
      <w:start w:val="1"/>
      <w:numFmt w:val="bullet"/>
      <w:lvlText w:val="•"/>
      <w:lvlJc w:val="left"/>
      <w:pPr>
        <w:ind w:left="720" w:hanging="360"/>
      </w:pPr>
      <w:rPr>
        <w:rFonts w:hint="default"/>
        <w:caps w:val="0"/>
        <w:strike w:val="0"/>
        <w:dstrike w:val="0"/>
        <w:color w:val="1F497D"/>
        <w:spacing w:val="-2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91CEC"/>
    <w:multiLevelType w:val="hybridMultilevel"/>
    <w:tmpl w:val="864ED4FC"/>
    <w:lvl w:ilvl="0" w:tplc="88D6E120">
      <w:start w:val="1"/>
      <w:numFmt w:val="bullet"/>
      <w:lvlText w:val="•"/>
      <w:lvlJc w:val="left"/>
      <w:pPr>
        <w:ind w:left="720" w:hanging="360"/>
      </w:pPr>
      <w:rPr>
        <w:rFonts w:hint="default"/>
        <w:caps w:val="0"/>
        <w:strike w:val="0"/>
        <w:dstrike w:val="0"/>
        <w:color w:val="1F497D"/>
        <w:spacing w:val="-20"/>
        <w:w w:val="100"/>
        <w:kern w:val="0"/>
        <w:position w:val="0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E5EFC"/>
    <w:multiLevelType w:val="hybridMultilevel"/>
    <w:tmpl w:val="6BD077AE"/>
    <w:lvl w:ilvl="0" w:tplc="88D6E120">
      <w:start w:val="1"/>
      <w:numFmt w:val="bullet"/>
      <w:lvlText w:val="•"/>
      <w:lvlJc w:val="left"/>
      <w:pPr>
        <w:ind w:left="720" w:hanging="360"/>
      </w:pPr>
      <w:rPr>
        <w:rFonts w:hint="default"/>
        <w:caps w:val="0"/>
        <w:strike w:val="0"/>
        <w:dstrike w:val="0"/>
        <w:color w:val="1F497D" w:themeColor="text2"/>
        <w:spacing w:val="-2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056F8"/>
    <w:multiLevelType w:val="hybridMultilevel"/>
    <w:tmpl w:val="5316F0DC"/>
    <w:lvl w:ilvl="0" w:tplc="25F8F14A">
      <w:start w:val="1"/>
      <w:numFmt w:val="bullet"/>
      <w:lvlText w:val=""/>
      <w:lvlJc w:val="left"/>
      <w:pPr>
        <w:ind w:left="780" w:hanging="360"/>
      </w:pPr>
      <w:rPr>
        <w:rFonts w:ascii="Wingdings" w:hAnsi="Wingdings" w:hint="default"/>
        <w:caps w:val="0"/>
        <w:strike w:val="0"/>
        <w:dstrike w:val="0"/>
        <w:color w:val="1F497D"/>
        <w:spacing w:val="-20"/>
        <w:w w:val="100"/>
        <w:kern w:val="0"/>
        <w:position w:val="0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E6557"/>
    <w:multiLevelType w:val="hybridMultilevel"/>
    <w:tmpl w:val="146E0C6C"/>
    <w:lvl w:ilvl="0" w:tplc="88D6E120">
      <w:start w:val="1"/>
      <w:numFmt w:val="bullet"/>
      <w:lvlText w:val="•"/>
      <w:lvlJc w:val="left"/>
      <w:pPr>
        <w:ind w:left="720" w:hanging="360"/>
      </w:pPr>
      <w:rPr>
        <w:rFonts w:hint="default"/>
        <w:caps w:val="0"/>
        <w:strike w:val="0"/>
        <w:dstrike w:val="0"/>
        <w:color w:val="1F497D"/>
        <w:spacing w:val="-2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96A63"/>
    <w:multiLevelType w:val="hybridMultilevel"/>
    <w:tmpl w:val="63FACE36"/>
    <w:lvl w:ilvl="0" w:tplc="88D6E120">
      <w:start w:val="1"/>
      <w:numFmt w:val="bullet"/>
      <w:lvlText w:val="•"/>
      <w:lvlJc w:val="left"/>
      <w:pPr>
        <w:ind w:left="780" w:hanging="360"/>
      </w:pPr>
      <w:rPr>
        <w:rFonts w:hint="default"/>
        <w:caps w:val="0"/>
        <w:strike w:val="0"/>
        <w:dstrike w:val="0"/>
        <w:color w:val="1F497D"/>
        <w:spacing w:val="-20"/>
        <w:w w:val="100"/>
        <w:kern w:val="0"/>
        <w:position w:val="0"/>
        <w:vertAlign w:val="baseline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0025059"/>
    <w:multiLevelType w:val="hybridMultilevel"/>
    <w:tmpl w:val="7996F1A8"/>
    <w:lvl w:ilvl="0" w:tplc="88D6E120">
      <w:start w:val="1"/>
      <w:numFmt w:val="bullet"/>
      <w:lvlText w:val="•"/>
      <w:lvlJc w:val="left"/>
      <w:pPr>
        <w:ind w:left="720" w:hanging="360"/>
      </w:pPr>
      <w:rPr>
        <w:rFonts w:hint="default"/>
        <w:caps w:val="0"/>
        <w:strike w:val="0"/>
        <w:dstrike w:val="0"/>
        <w:color w:val="1F497D"/>
        <w:spacing w:val="-2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F16FD"/>
    <w:multiLevelType w:val="hybridMultilevel"/>
    <w:tmpl w:val="2A4AB574"/>
    <w:lvl w:ilvl="0" w:tplc="551EE4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46F0F"/>
    <w:multiLevelType w:val="hybridMultilevel"/>
    <w:tmpl w:val="F2D67F26"/>
    <w:lvl w:ilvl="0" w:tplc="F56A8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633F4"/>
    <w:multiLevelType w:val="hybridMultilevel"/>
    <w:tmpl w:val="A0D6A130"/>
    <w:lvl w:ilvl="0" w:tplc="88D6E120">
      <w:start w:val="1"/>
      <w:numFmt w:val="bullet"/>
      <w:lvlText w:val="•"/>
      <w:lvlJc w:val="left"/>
      <w:pPr>
        <w:ind w:left="720" w:hanging="360"/>
      </w:pPr>
      <w:rPr>
        <w:rFonts w:hint="default"/>
        <w:caps w:val="0"/>
        <w:strike w:val="0"/>
        <w:dstrike w:val="0"/>
        <w:color w:val="1F497D"/>
        <w:spacing w:val="-2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4470E"/>
    <w:multiLevelType w:val="hybridMultilevel"/>
    <w:tmpl w:val="442CC0CE"/>
    <w:lvl w:ilvl="0" w:tplc="88D6E120">
      <w:start w:val="1"/>
      <w:numFmt w:val="bullet"/>
      <w:lvlText w:val="•"/>
      <w:lvlJc w:val="left"/>
      <w:pPr>
        <w:ind w:left="720" w:hanging="360"/>
      </w:pPr>
      <w:rPr>
        <w:rFonts w:hint="default"/>
        <w:caps w:val="0"/>
        <w:strike w:val="0"/>
        <w:dstrike w:val="0"/>
        <w:color w:val="1F497D"/>
        <w:spacing w:val="-2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30CB6"/>
    <w:multiLevelType w:val="hybridMultilevel"/>
    <w:tmpl w:val="91168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A373B"/>
    <w:multiLevelType w:val="hybridMultilevel"/>
    <w:tmpl w:val="1E04F47A"/>
    <w:lvl w:ilvl="0" w:tplc="E3DC2E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2C150F"/>
    <w:multiLevelType w:val="hybridMultilevel"/>
    <w:tmpl w:val="33D4BF04"/>
    <w:lvl w:ilvl="0" w:tplc="88D6E120">
      <w:start w:val="1"/>
      <w:numFmt w:val="bullet"/>
      <w:lvlText w:val="•"/>
      <w:lvlJc w:val="left"/>
      <w:pPr>
        <w:ind w:left="720" w:hanging="360"/>
      </w:pPr>
      <w:rPr>
        <w:rFonts w:hint="default"/>
        <w:caps w:val="0"/>
        <w:strike w:val="0"/>
        <w:dstrike w:val="0"/>
        <w:color w:val="1F497D" w:themeColor="text2"/>
        <w:spacing w:val="-2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13"/>
  </w:num>
  <w:num w:numId="7">
    <w:abstractNumId w:val="7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14"/>
  </w:num>
  <w:num w:numId="13">
    <w:abstractNumId w:val="9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77F"/>
    <w:rsid w:val="000A7968"/>
    <w:rsid w:val="0016180F"/>
    <w:rsid w:val="001817F2"/>
    <w:rsid w:val="00186A17"/>
    <w:rsid w:val="001F5B53"/>
    <w:rsid w:val="0022523B"/>
    <w:rsid w:val="00237015"/>
    <w:rsid w:val="0024440C"/>
    <w:rsid w:val="00287E4F"/>
    <w:rsid w:val="002D1B4D"/>
    <w:rsid w:val="00334636"/>
    <w:rsid w:val="003740D9"/>
    <w:rsid w:val="003D38C5"/>
    <w:rsid w:val="00473813"/>
    <w:rsid w:val="004955F7"/>
    <w:rsid w:val="004B328A"/>
    <w:rsid w:val="00532C71"/>
    <w:rsid w:val="005349FC"/>
    <w:rsid w:val="0055177F"/>
    <w:rsid w:val="00564A3F"/>
    <w:rsid w:val="00594291"/>
    <w:rsid w:val="00594737"/>
    <w:rsid w:val="005A6750"/>
    <w:rsid w:val="0069388B"/>
    <w:rsid w:val="006B0D8D"/>
    <w:rsid w:val="00794C03"/>
    <w:rsid w:val="007B5DDF"/>
    <w:rsid w:val="007C4D25"/>
    <w:rsid w:val="00821A55"/>
    <w:rsid w:val="00902695"/>
    <w:rsid w:val="00960F97"/>
    <w:rsid w:val="009F700B"/>
    <w:rsid w:val="00A63B62"/>
    <w:rsid w:val="00A7176D"/>
    <w:rsid w:val="00B84E3F"/>
    <w:rsid w:val="00BF7CBC"/>
    <w:rsid w:val="00C0432B"/>
    <w:rsid w:val="00CD48C9"/>
    <w:rsid w:val="00D945BD"/>
    <w:rsid w:val="00DC300B"/>
    <w:rsid w:val="00F42E82"/>
    <w:rsid w:val="00F73508"/>
    <w:rsid w:val="00F7696B"/>
    <w:rsid w:val="00F83A40"/>
    <w:rsid w:val="00FD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B5C5D"/>
  <w15:docId w15:val="{5C00718B-F4F3-43D6-B99D-585DB74C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17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94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5BD"/>
  </w:style>
  <w:style w:type="paragraph" w:styleId="Pieddepage">
    <w:name w:val="footer"/>
    <w:basedOn w:val="Normal"/>
    <w:link w:val="PieddepageCar"/>
    <w:uiPriority w:val="99"/>
    <w:unhideWhenUsed/>
    <w:rsid w:val="00D94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5BD"/>
  </w:style>
  <w:style w:type="paragraph" w:styleId="Textedebulles">
    <w:name w:val="Balloon Text"/>
    <w:basedOn w:val="Normal"/>
    <w:link w:val="TextedebullesCar"/>
    <w:uiPriority w:val="99"/>
    <w:semiHidden/>
    <w:unhideWhenUsed/>
    <w:rsid w:val="00D9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B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60F97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F7C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7CB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7C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7C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7CBC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186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530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Bohnsack</dc:creator>
  <cp:lastModifiedBy>Natalie Monteza</cp:lastModifiedBy>
  <cp:revision>3</cp:revision>
  <dcterms:created xsi:type="dcterms:W3CDTF">2019-10-11T08:08:00Z</dcterms:created>
  <dcterms:modified xsi:type="dcterms:W3CDTF">2019-10-11T08:25:00Z</dcterms:modified>
</cp:coreProperties>
</file>